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2019/335496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SPOR SAHALARINDA VE ÇEŞİTLİ ALANLARDA KORKULUK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